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366E" w14:textId="77777777" w:rsidR="00F42F06" w:rsidRDefault="00F42F06" w:rsidP="00F42F06">
      <w:pPr>
        <w:rPr>
          <w:b/>
          <w:bCs/>
          <w:i/>
          <w:iCs/>
        </w:rPr>
      </w:pPr>
      <w:r>
        <w:rPr>
          <w:b/>
          <w:bCs/>
          <w:i/>
          <w:iCs/>
        </w:rPr>
        <w:t>Expiry of Non-Principal Private Residence (NPPR) liability and charge on property</w:t>
      </w:r>
    </w:p>
    <w:p w14:paraId="12EABD08" w14:textId="77777777" w:rsidR="00F42F06" w:rsidRDefault="00F42F06" w:rsidP="00F42F06">
      <w:pPr>
        <w:rPr>
          <w:i/>
          <w:iCs/>
        </w:rPr>
      </w:pPr>
    </w:p>
    <w:p w14:paraId="52628FAE" w14:textId="77777777" w:rsidR="00F42F06" w:rsidRDefault="00F42F06" w:rsidP="00F42F06">
      <w:pPr>
        <w:rPr>
          <w:i/>
          <w:iCs/>
        </w:rPr>
      </w:pPr>
      <w:r>
        <w:rPr>
          <w:i/>
          <w:iCs/>
        </w:rPr>
        <w:t>The NPPR charge applied from 2009 to 2013 to any residential property in which the owner did not reside as their normal place of residence.  The self-assessed charge was set at €200 per annum and relevant late payment fees applied.</w:t>
      </w:r>
    </w:p>
    <w:p w14:paraId="2A2EF3C2" w14:textId="77777777" w:rsidR="00F42F06" w:rsidRDefault="00F42F06" w:rsidP="00F42F06">
      <w:pPr>
        <w:rPr>
          <w:i/>
          <w:iCs/>
        </w:rPr>
      </w:pPr>
    </w:p>
    <w:p w14:paraId="664A2261" w14:textId="77777777" w:rsidR="00F42F06" w:rsidRDefault="00F42F06" w:rsidP="00F42F06">
      <w:pPr>
        <w:rPr>
          <w:i/>
          <w:iCs/>
        </w:rPr>
      </w:pPr>
      <w:r>
        <w:rPr>
          <w:i/>
          <w:iCs/>
        </w:rPr>
        <w:t xml:space="preserve">Unpaid NPPR charge and associated late payment fees became a charge on property applying for their own 12-year period, measurable from the liability date.  Therefore, outstanding NPPR liabilities and payments remained payable to the relevant local authority for a period of 12 years. </w:t>
      </w:r>
    </w:p>
    <w:p w14:paraId="4515D953" w14:textId="77777777" w:rsidR="00F42F06" w:rsidRDefault="00F42F06" w:rsidP="00F42F06">
      <w:pPr>
        <w:rPr>
          <w:i/>
          <w:iCs/>
        </w:rPr>
      </w:pPr>
    </w:p>
    <w:p w14:paraId="723F292E" w14:textId="77777777" w:rsidR="00F42F06" w:rsidRDefault="00F42F06" w:rsidP="00F42F06">
      <w:pPr>
        <w:rPr>
          <w:i/>
          <w:iCs/>
        </w:rPr>
      </w:pPr>
      <w:r>
        <w:rPr>
          <w:i/>
          <w:iCs/>
        </w:rPr>
        <w:t>NPPR liabilities from 2009 to 2013 and remaining unpaid have been expiring each year since 2021.  Liability for NPPR charges and late payment fees and any associated charge on a property expire completely after 31 March 2025.  A vendor will no longer have to provide a certificate of discharge or exemption in order to sell their property, after 31 March 2025.</w:t>
      </w:r>
    </w:p>
    <w:p w14:paraId="7C1BB65B" w14:textId="77777777" w:rsidR="00F42F06" w:rsidRDefault="00F42F06"/>
    <w:sectPr w:rsidR="00F42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06"/>
    <w:rsid w:val="00B8158B"/>
    <w:rsid w:val="00F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871F"/>
  <w15:chartTrackingRefBased/>
  <w15:docId w15:val="{25CF66A9-33A2-4273-A9DC-D942D81E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06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F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F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F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F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F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F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F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F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F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F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F0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42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F0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42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Louth County Council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Rice</dc:creator>
  <cp:keywords/>
  <dc:description/>
  <cp:lastModifiedBy>Martina Rice</cp:lastModifiedBy>
  <cp:revision>1</cp:revision>
  <dcterms:created xsi:type="dcterms:W3CDTF">2025-04-03T10:21:00Z</dcterms:created>
  <dcterms:modified xsi:type="dcterms:W3CDTF">2025-04-03T10:21:00Z</dcterms:modified>
</cp:coreProperties>
</file>